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540B" w14:textId="77777777" w:rsidR="00436B40" w:rsidRPr="00101C2A" w:rsidRDefault="00436B40" w:rsidP="006E47FD">
      <w:pPr>
        <w:jc w:val="center"/>
        <w:rPr>
          <w:b/>
          <w:u w:val="single"/>
        </w:rPr>
      </w:pPr>
    </w:p>
    <w:p w14:paraId="14350C9B" w14:textId="646B477F" w:rsidR="00283AB5" w:rsidRPr="00696B0D" w:rsidRDefault="00283AB5" w:rsidP="00283AB5">
      <w:pPr>
        <w:jc w:val="center"/>
        <w:rPr>
          <w:b/>
          <w:u w:val="single"/>
        </w:rPr>
      </w:pPr>
      <w:r w:rsidRPr="00696B0D">
        <w:rPr>
          <w:b/>
          <w:u w:val="single"/>
        </w:rPr>
        <w:t xml:space="preserve">Legal Opinion </w:t>
      </w:r>
      <w:r w:rsidR="00C02677">
        <w:rPr>
          <w:b/>
          <w:u w:val="single"/>
        </w:rPr>
        <w:t>2023-004</w:t>
      </w:r>
    </w:p>
    <w:p w14:paraId="52314B48" w14:textId="77777777" w:rsidR="00283AB5" w:rsidRPr="00696B0D" w:rsidRDefault="00283AB5" w:rsidP="00283AB5">
      <w:pPr>
        <w:jc w:val="center"/>
        <w:rPr>
          <w:b/>
        </w:rPr>
      </w:pPr>
    </w:p>
    <w:p w14:paraId="4821F31B" w14:textId="77777777" w:rsidR="00283AB5" w:rsidRPr="00696B0D" w:rsidRDefault="00283AB5" w:rsidP="00283AB5">
      <w:pPr>
        <w:jc w:val="center"/>
        <w:rPr>
          <w:b/>
        </w:rPr>
      </w:pPr>
    </w:p>
    <w:p w14:paraId="7169F894" w14:textId="7BF8DCEE" w:rsidR="00283AB5" w:rsidRDefault="00283AB5" w:rsidP="004D33C9">
      <w:pPr>
        <w:ind w:left="1440" w:hanging="1440"/>
      </w:pPr>
      <w:r w:rsidRPr="008673DA">
        <w:rPr>
          <w:b/>
        </w:rPr>
        <w:t>TO:</w:t>
      </w:r>
      <w:r w:rsidRPr="008673DA">
        <w:rPr>
          <w:b/>
        </w:rPr>
        <w:tab/>
      </w:r>
      <w:r w:rsidR="00C02677">
        <w:t>Mayor Jordan Hess</w:t>
      </w:r>
      <w:r w:rsidR="004D33C9">
        <w:t xml:space="preserve">, </w:t>
      </w:r>
      <w:r w:rsidR="00C02677">
        <w:t xml:space="preserve">City Council, </w:t>
      </w:r>
      <w:r w:rsidR="004D33C9">
        <w:t xml:space="preserve">Dale </w:t>
      </w:r>
      <w:proofErr w:type="spellStart"/>
      <w:r w:rsidR="004D33C9">
        <w:t>Bickell</w:t>
      </w:r>
      <w:proofErr w:type="spellEnd"/>
      <w:r w:rsidR="004D33C9">
        <w:t xml:space="preserve">, Leigh Griffing, </w:t>
      </w:r>
      <w:r w:rsidR="00C02677">
        <w:t xml:space="preserve">Eric Hallstrom, </w:t>
      </w:r>
      <w:r w:rsidR="004D33C9">
        <w:t xml:space="preserve">Donna Gaukler, Shirley Kinsey, David Selvage, Nathan Mcleod, Jeremy Keene, Kevin </w:t>
      </w:r>
      <w:proofErr w:type="spellStart"/>
      <w:r w:rsidR="004D33C9">
        <w:t>Slovarp</w:t>
      </w:r>
      <w:proofErr w:type="spellEnd"/>
      <w:r w:rsidR="004D33C9">
        <w:t xml:space="preserve">, Brian Hensel, </w:t>
      </w:r>
      <w:r w:rsidR="00C02677">
        <w:t>Logan McInnis, Monte Sipe, Ellen Buchanan</w:t>
      </w:r>
      <w:r w:rsidR="004D33C9">
        <w:t xml:space="preserve">, </w:t>
      </w:r>
      <w:r w:rsidR="00C02677">
        <w:t xml:space="preserve">Wendy Gay, Haley Erickson, </w:t>
      </w:r>
      <w:r w:rsidR="004D33C9">
        <w:t xml:space="preserve">Ashley Stayer, Ross </w:t>
      </w:r>
      <w:proofErr w:type="spellStart"/>
      <w:r w:rsidR="004D33C9">
        <w:t>Mollenhauer</w:t>
      </w:r>
      <w:proofErr w:type="spellEnd"/>
      <w:r w:rsidR="004D33C9">
        <w:t xml:space="preserve">, Matt Lawson, Erin </w:t>
      </w:r>
      <w:proofErr w:type="spellStart"/>
      <w:r w:rsidR="004D33C9">
        <w:t>Pehan</w:t>
      </w:r>
      <w:proofErr w:type="spellEnd"/>
      <w:r w:rsidR="004D33C9">
        <w:t xml:space="preserve">, Gordy Hughes, Brad Davis, </w:t>
      </w:r>
      <w:r w:rsidR="00C02677">
        <w:t>Mike Colyer</w:t>
      </w:r>
      <w:r w:rsidR="004D33C9">
        <w:t>, Scott Hoffman</w:t>
      </w:r>
      <w:r w:rsidR="00C02677">
        <w:t>, Marty Rehbein</w:t>
      </w:r>
      <w:r w:rsidR="004673EB">
        <w:t>, Betsy Willett, Garrick Swanson</w:t>
      </w:r>
    </w:p>
    <w:p w14:paraId="5D90F212" w14:textId="77777777" w:rsidR="004D33C9" w:rsidRDefault="004D33C9" w:rsidP="004D33C9">
      <w:pPr>
        <w:ind w:left="1440" w:hanging="1440"/>
        <w:rPr>
          <w:b/>
        </w:rPr>
      </w:pPr>
    </w:p>
    <w:p w14:paraId="09723E2E" w14:textId="1C98236A" w:rsidR="00283AB5" w:rsidRPr="006505FB" w:rsidRDefault="00283AB5" w:rsidP="00283AB5">
      <w:pPr>
        <w:ind w:left="1440" w:hanging="1440"/>
        <w:jc w:val="both"/>
      </w:pPr>
      <w:r>
        <w:rPr>
          <w:b/>
        </w:rPr>
        <w:t>CC:</w:t>
      </w:r>
      <w:r>
        <w:rPr>
          <w:b/>
        </w:rPr>
        <w:tab/>
      </w:r>
      <w:r>
        <w:t>Department Attorney</w:t>
      </w:r>
    </w:p>
    <w:p w14:paraId="7EC81A49" w14:textId="77777777" w:rsidR="00283AB5" w:rsidRPr="008673DA" w:rsidRDefault="00283AB5" w:rsidP="00283AB5">
      <w:pPr>
        <w:ind w:left="1440" w:hanging="1440"/>
        <w:jc w:val="both"/>
        <w:rPr>
          <w:b/>
        </w:rPr>
      </w:pPr>
    </w:p>
    <w:p w14:paraId="5DA56FD5" w14:textId="77777777" w:rsidR="00283AB5" w:rsidRPr="006505FB" w:rsidRDefault="00283AB5" w:rsidP="00283AB5">
      <w:pPr>
        <w:jc w:val="both"/>
      </w:pPr>
      <w:r w:rsidRPr="008673DA">
        <w:rPr>
          <w:b/>
        </w:rPr>
        <w:t>FROM:</w:t>
      </w:r>
      <w:r w:rsidRPr="008673DA">
        <w:rPr>
          <w:b/>
        </w:rPr>
        <w:tab/>
      </w:r>
      <w:r>
        <w:t>Jim Nugent, City Attorney</w:t>
      </w:r>
    </w:p>
    <w:p w14:paraId="2EC02E66" w14:textId="77777777" w:rsidR="00283AB5" w:rsidRPr="008673DA" w:rsidRDefault="00283AB5" w:rsidP="00283AB5">
      <w:pPr>
        <w:jc w:val="both"/>
        <w:rPr>
          <w:b/>
        </w:rPr>
      </w:pPr>
    </w:p>
    <w:p w14:paraId="1DC0C7BD" w14:textId="6DB5F068" w:rsidR="00283AB5" w:rsidRPr="006505FB" w:rsidRDefault="00283AB5" w:rsidP="00283AB5">
      <w:pPr>
        <w:jc w:val="both"/>
      </w:pPr>
      <w:r w:rsidRPr="008673DA">
        <w:rPr>
          <w:b/>
        </w:rPr>
        <w:t>DATE</w:t>
      </w:r>
      <w:r w:rsidRPr="008673DA">
        <w:rPr>
          <w:b/>
        </w:rPr>
        <w:tab/>
      </w:r>
      <w:r w:rsidRPr="008673DA">
        <w:rPr>
          <w:b/>
        </w:rPr>
        <w:tab/>
      </w:r>
      <w:r w:rsidR="00C02677">
        <w:t>March 16</w:t>
      </w:r>
      <w:r w:rsidR="00C02677" w:rsidRPr="00C02677">
        <w:rPr>
          <w:vertAlign w:val="superscript"/>
        </w:rPr>
        <w:t>th</w:t>
      </w:r>
      <w:r w:rsidR="00C02677">
        <w:t>, 2023</w:t>
      </w:r>
    </w:p>
    <w:p w14:paraId="07BB587C" w14:textId="77777777" w:rsidR="00283AB5" w:rsidRPr="008673DA" w:rsidRDefault="00283AB5" w:rsidP="00283AB5">
      <w:pPr>
        <w:tabs>
          <w:tab w:val="left" w:pos="2682"/>
        </w:tabs>
        <w:jc w:val="both"/>
        <w:rPr>
          <w:b/>
        </w:rPr>
      </w:pPr>
    </w:p>
    <w:p w14:paraId="393E30B7" w14:textId="52400A64" w:rsidR="00283AB5" w:rsidRPr="001F79E4" w:rsidRDefault="00283AB5" w:rsidP="001F79E4">
      <w:pPr>
        <w:ind w:left="1440" w:hanging="1440"/>
        <w:rPr>
          <w:sz w:val="22"/>
          <w:szCs w:val="22"/>
        </w:rPr>
      </w:pPr>
      <w:r w:rsidRPr="008673DA">
        <w:rPr>
          <w:b/>
        </w:rPr>
        <w:t>RE:</w:t>
      </w:r>
      <w:r w:rsidRPr="008673DA">
        <w:rPr>
          <w:b/>
        </w:rPr>
        <w:tab/>
      </w:r>
      <w:r w:rsidR="00C02677">
        <w:t xml:space="preserve">Montana construction contract law requires that all public works contracts </w:t>
      </w:r>
      <w:proofErr w:type="gramStart"/>
      <w:r w:rsidR="00C02677">
        <w:t>in excess of</w:t>
      </w:r>
      <w:proofErr w:type="gramEnd"/>
      <w:r w:rsidR="00C02677">
        <w:t xml:space="preserve"> $25,000 must contain standard prevailing wage rates that shall be paid.</w:t>
      </w:r>
    </w:p>
    <w:p w14:paraId="21DFA1A4" w14:textId="77777777" w:rsidR="00283AB5" w:rsidRPr="008673DA" w:rsidRDefault="00283AB5" w:rsidP="00283AB5">
      <w:pPr>
        <w:pBdr>
          <w:bottom w:val="double" w:sz="6" w:space="1" w:color="auto"/>
        </w:pBdr>
        <w:jc w:val="both"/>
        <w:rPr>
          <w:b/>
        </w:rPr>
      </w:pPr>
    </w:p>
    <w:p w14:paraId="1B48DD28" w14:textId="77777777" w:rsidR="00283AB5" w:rsidRPr="008673DA" w:rsidRDefault="00283AB5" w:rsidP="00283AB5">
      <w:pPr>
        <w:jc w:val="both"/>
        <w:rPr>
          <w:b/>
        </w:rPr>
      </w:pPr>
    </w:p>
    <w:p w14:paraId="5559136F" w14:textId="77777777" w:rsidR="00283AB5" w:rsidRPr="008673DA" w:rsidRDefault="00283AB5" w:rsidP="00283AB5">
      <w:pPr>
        <w:rPr>
          <w:b/>
        </w:rPr>
      </w:pPr>
      <w:r w:rsidRPr="008673DA">
        <w:rPr>
          <w:b/>
          <w:u w:val="single"/>
        </w:rPr>
        <w:t>FACTS</w:t>
      </w:r>
      <w:r w:rsidRPr="008673DA">
        <w:rPr>
          <w:b/>
        </w:rPr>
        <w:t>:</w:t>
      </w:r>
    </w:p>
    <w:p w14:paraId="554B633D" w14:textId="77777777" w:rsidR="00283AB5" w:rsidRPr="008673DA" w:rsidRDefault="00283AB5" w:rsidP="00283AB5"/>
    <w:p w14:paraId="32D7D4BE" w14:textId="63D0A2E5" w:rsidR="00283AB5" w:rsidRDefault="00C02677" w:rsidP="00283AB5">
      <w:r>
        <w:t>Several times in recent months</w:t>
      </w:r>
      <w:r w:rsidR="004D33C9">
        <w:t xml:space="preserve"> public works construction service </w:t>
      </w:r>
      <w:r>
        <w:t>contracts</w:t>
      </w:r>
      <w:r w:rsidR="004D33C9">
        <w:t xml:space="preserve"> have been returned to city staff sender</w:t>
      </w:r>
      <w:r>
        <w:t>s</w:t>
      </w:r>
      <w:r w:rsidR="004D33C9">
        <w:t xml:space="preserve"> without approval </w:t>
      </w:r>
      <w:proofErr w:type="gramStart"/>
      <w:r w:rsidR="004D33C9">
        <w:t>for the reason that</w:t>
      </w:r>
      <w:proofErr w:type="gramEnd"/>
      <w:r w:rsidR="004D33C9">
        <w:t xml:space="preserve"> the public works contract documents provided to our office did not include Montana prevailing wages for projects costing more than $25,000.</w:t>
      </w:r>
    </w:p>
    <w:p w14:paraId="6B14FA9F" w14:textId="77777777" w:rsidR="004D33C9" w:rsidRPr="008673DA" w:rsidRDefault="004D33C9" w:rsidP="00283AB5"/>
    <w:p w14:paraId="1D094BA0" w14:textId="77777777" w:rsidR="00283AB5" w:rsidRPr="008673DA" w:rsidRDefault="00283AB5" w:rsidP="00283AB5">
      <w:r w:rsidRPr="008673DA">
        <w:rPr>
          <w:b/>
          <w:u w:val="single"/>
        </w:rPr>
        <w:t>ISSUE</w:t>
      </w:r>
      <w:r>
        <w:rPr>
          <w:b/>
          <w:u w:val="single"/>
        </w:rPr>
        <w:t>(</w:t>
      </w:r>
      <w:r w:rsidRPr="008673DA">
        <w:rPr>
          <w:b/>
          <w:u w:val="single"/>
        </w:rPr>
        <w:t>S</w:t>
      </w:r>
      <w:r>
        <w:rPr>
          <w:b/>
          <w:u w:val="single"/>
        </w:rPr>
        <w:t>)</w:t>
      </w:r>
      <w:r w:rsidRPr="008673DA">
        <w:rPr>
          <w:b/>
        </w:rPr>
        <w:t>:</w:t>
      </w:r>
    </w:p>
    <w:p w14:paraId="08A7015C" w14:textId="77777777" w:rsidR="00283AB5" w:rsidRPr="008673DA" w:rsidRDefault="00283AB5" w:rsidP="00283AB5"/>
    <w:p w14:paraId="0A056B11" w14:textId="6366B310" w:rsidR="001F79E4" w:rsidRDefault="004D33C9" w:rsidP="00283AB5">
      <w:r>
        <w:t xml:space="preserve">Does Montana have a </w:t>
      </w:r>
      <w:r w:rsidR="00C02677">
        <w:t xml:space="preserve">construction contract law requiring all public works contracts </w:t>
      </w:r>
      <w:proofErr w:type="gramStart"/>
      <w:r w:rsidR="00C02677">
        <w:t>in excess of</w:t>
      </w:r>
      <w:proofErr w:type="gramEnd"/>
      <w:r w:rsidR="00C02677">
        <w:t xml:space="preserve"> $25,000 to contain standard prevailing wage rates?</w:t>
      </w:r>
      <w:r>
        <w:t xml:space="preserve"> </w:t>
      </w:r>
    </w:p>
    <w:p w14:paraId="40C3523A" w14:textId="77777777" w:rsidR="004D33C9" w:rsidRPr="008673DA" w:rsidRDefault="004D33C9" w:rsidP="00283AB5"/>
    <w:p w14:paraId="36C8F2C6" w14:textId="77777777" w:rsidR="00283AB5" w:rsidRPr="008673DA" w:rsidRDefault="00283AB5" w:rsidP="00283AB5">
      <w:pPr>
        <w:rPr>
          <w:b/>
        </w:rPr>
      </w:pPr>
      <w:r w:rsidRPr="008673DA">
        <w:rPr>
          <w:b/>
          <w:u w:val="single"/>
        </w:rPr>
        <w:t>CONCLUSION</w:t>
      </w:r>
      <w:r>
        <w:rPr>
          <w:b/>
          <w:u w:val="single"/>
        </w:rPr>
        <w:t>(S)</w:t>
      </w:r>
      <w:r w:rsidRPr="008673DA">
        <w:rPr>
          <w:b/>
        </w:rPr>
        <w:t>:</w:t>
      </w:r>
    </w:p>
    <w:p w14:paraId="561677A3" w14:textId="77777777" w:rsidR="00283AB5" w:rsidRPr="008673DA" w:rsidRDefault="00283AB5" w:rsidP="00283AB5"/>
    <w:p w14:paraId="50139487" w14:textId="027D70A3" w:rsidR="001F79E4" w:rsidRDefault="004D33C9" w:rsidP="00283AB5">
      <w:r>
        <w:t>Y</w:t>
      </w:r>
      <w:r w:rsidR="008C3EF2">
        <w:t>es</w:t>
      </w:r>
      <w:r>
        <w:t xml:space="preserve">. </w:t>
      </w:r>
      <w:r w:rsidR="00C02677" w:rsidRPr="00836097">
        <w:t>Mont. Code Ann. §</w:t>
      </w:r>
      <w:r w:rsidR="00C02677">
        <w:t xml:space="preserve"> 18-2-422 of Montana’s construction contract laws requires that all public works contracts and bid specifications for contracts with a total cost </w:t>
      </w:r>
      <w:proofErr w:type="gramStart"/>
      <w:r w:rsidR="00C02677">
        <w:t>in excess of</w:t>
      </w:r>
      <w:proofErr w:type="gramEnd"/>
      <w:r w:rsidR="00C02677">
        <w:t xml:space="preserve"> $25,000 must contain the standard prevailing wage rates.</w:t>
      </w:r>
    </w:p>
    <w:p w14:paraId="05818CFA" w14:textId="77777777" w:rsidR="004D33C9" w:rsidRPr="008673DA" w:rsidRDefault="004D33C9" w:rsidP="00283AB5"/>
    <w:p w14:paraId="419B37BD" w14:textId="77777777" w:rsidR="00283AB5" w:rsidRPr="008673DA" w:rsidRDefault="00283AB5" w:rsidP="00283AB5">
      <w:pPr>
        <w:keepNext/>
        <w:jc w:val="both"/>
        <w:rPr>
          <w:b/>
        </w:rPr>
      </w:pPr>
      <w:r w:rsidRPr="008673DA">
        <w:rPr>
          <w:b/>
          <w:u w:val="single"/>
        </w:rPr>
        <w:t>LEGAL DISCUSSION</w:t>
      </w:r>
      <w:r w:rsidRPr="008673DA">
        <w:rPr>
          <w:b/>
        </w:rPr>
        <w:t>:</w:t>
      </w:r>
    </w:p>
    <w:p w14:paraId="7AB62759" w14:textId="77777777" w:rsidR="00283AB5" w:rsidRPr="00D53935" w:rsidRDefault="00283AB5" w:rsidP="00283AB5"/>
    <w:p w14:paraId="10EE6C2E" w14:textId="04CEE5EC" w:rsidR="004D33C9" w:rsidRDefault="004D33C9" w:rsidP="004D33C9">
      <w:pPr>
        <w:rPr>
          <w:sz w:val="22"/>
          <w:szCs w:val="22"/>
        </w:rPr>
      </w:pPr>
      <w:r>
        <w:t xml:space="preserve">Montana state law sets forth Montana’s Little Davis Bacon Act in section </w:t>
      </w:r>
      <w:r w:rsidR="004673EB" w:rsidRPr="00836097">
        <w:t>Mont. Code Ann. §</w:t>
      </w:r>
      <w:r w:rsidR="004673EB">
        <w:t xml:space="preserve"> </w:t>
      </w:r>
      <w:r>
        <w:t>18-2-</w:t>
      </w:r>
      <w:r w:rsidR="004673EB">
        <w:t>401</w:t>
      </w:r>
      <w:r>
        <w:t xml:space="preserve"> et. seq.: entitled “SPECIAL CONDITIONS-STANDARD PREVAILING RATE OF</w:t>
      </w:r>
      <w:r w:rsidR="004673EB">
        <w:t xml:space="preserve"> </w:t>
      </w:r>
      <w:r>
        <w:lastRenderedPageBreak/>
        <w:t>WA</w:t>
      </w:r>
      <w:r w:rsidR="00F858EC">
        <w:t>G</w:t>
      </w:r>
      <w:r>
        <w:t>ES</w:t>
      </w:r>
      <w:r w:rsidR="00600FD1">
        <w:t>”</w:t>
      </w:r>
      <w:r>
        <w:t>. The Montana Department of Labor and Industry is responsible for enforcement of Montana’s Little Davis Bacon Act.</w:t>
      </w:r>
    </w:p>
    <w:p w14:paraId="25B8D191" w14:textId="77777777" w:rsidR="004D33C9" w:rsidRDefault="004D33C9" w:rsidP="004D33C9"/>
    <w:p w14:paraId="3E4C6BA3" w14:textId="1EACB50B" w:rsidR="004D33C9" w:rsidRDefault="004673EB" w:rsidP="004D33C9">
      <w:r w:rsidRPr="00836097">
        <w:t>Mont. Code Ann. §</w:t>
      </w:r>
      <w:r>
        <w:t xml:space="preserve"> </w:t>
      </w:r>
      <w:r w:rsidR="004D33C9">
        <w:t>18-2-401</w:t>
      </w:r>
      <w:r>
        <w:t>(11)</w:t>
      </w:r>
      <w:r w:rsidR="004D33C9">
        <w:t xml:space="preserve"> defines the term “public works contract” </w:t>
      </w:r>
      <w:r>
        <w:t>a</w:t>
      </w:r>
      <w:r w:rsidR="004D33C9">
        <w:t>s meaning:</w:t>
      </w:r>
    </w:p>
    <w:p w14:paraId="14CA1C64" w14:textId="77777777" w:rsidR="004D33C9" w:rsidRDefault="004D33C9" w:rsidP="004D33C9"/>
    <w:p w14:paraId="28AFE971" w14:textId="62AA22AD" w:rsidR="004D33C9" w:rsidRDefault="004D33C9" w:rsidP="004D33C9">
      <w:pPr>
        <w:ind w:left="1440"/>
      </w:pPr>
      <w:r>
        <w:t xml:space="preserve">“(11)(a) ‘Public works contract’ means a contract for construction services let by the state, county, municipality, school district or political subdivision or for </w:t>
      </w:r>
      <w:proofErr w:type="spellStart"/>
      <w:r>
        <w:t>nonconstruction</w:t>
      </w:r>
      <w:proofErr w:type="spellEnd"/>
      <w:r>
        <w:t xml:space="preserve"> services let by the state, county, municipality, or political subdivision IN WHICH THE TOTAL COST OF THE CONTRACT IS IN EXCESS OF $25,000.  The </w:t>
      </w:r>
      <w:proofErr w:type="spellStart"/>
      <w:r>
        <w:t>nonconstruction</w:t>
      </w:r>
      <w:proofErr w:type="spellEnd"/>
      <w:r>
        <w:t xml:space="preserve"> services classification does not apply to any school district that at any time prior to April 27, 1999, contracted with a private contractor for the provision of </w:t>
      </w:r>
      <w:proofErr w:type="spellStart"/>
      <w:r>
        <w:t>noncontruction</w:t>
      </w:r>
      <w:proofErr w:type="spellEnd"/>
      <w:r>
        <w:t xml:space="preserve"> services on behalf of the district.</w:t>
      </w:r>
    </w:p>
    <w:p w14:paraId="7F9B67F8" w14:textId="77777777" w:rsidR="004D33C9" w:rsidRDefault="004D33C9" w:rsidP="004D33C9"/>
    <w:p w14:paraId="07F07FB8" w14:textId="7B1618A3" w:rsidR="004D33C9" w:rsidRDefault="004D33C9" w:rsidP="004673EB">
      <w:pPr>
        <w:ind w:left="1440"/>
      </w:pPr>
      <w:r>
        <w:t xml:space="preserve">(b) The term does not include contracts entered into by the department of public health and human services for the provision of </w:t>
      </w:r>
      <w:proofErr w:type="spellStart"/>
      <w:r>
        <w:t>nonconstruction</w:t>
      </w:r>
      <w:proofErr w:type="spellEnd"/>
      <w:r>
        <w:t xml:space="preserve"> services for the provision of human services.” (</w:t>
      </w:r>
      <w:proofErr w:type="gramStart"/>
      <w:r>
        <w:t>emphasis</w:t>
      </w:r>
      <w:proofErr w:type="gramEnd"/>
      <w:r>
        <w:t xml:space="preserve"> added)</w:t>
      </w:r>
    </w:p>
    <w:p w14:paraId="30607B9A" w14:textId="77777777" w:rsidR="004D33C9" w:rsidRDefault="004D33C9" w:rsidP="004D33C9"/>
    <w:p w14:paraId="0072A0E9" w14:textId="7DB66A7E" w:rsidR="004D33C9" w:rsidRDefault="004673EB" w:rsidP="004D33C9">
      <w:r>
        <w:t>Pursuant</w:t>
      </w:r>
      <w:r w:rsidR="004D33C9">
        <w:t xml:space="preserve"> to </w:t>
      </w:r>
      <w:r w:rsidRPr="00836097">
        <w:t>Mont. Code Ann. §</w:t>
      </w:r>
      <w:r>
        <w:t xml:space="preserve"> </w:t>
      </w:r>
      <w:r w:rsidR="004D33C9">
        <w:t>18-2-42</w:t>
      </w:r>
      <w:r>
        <w:t>2</w:t>
      </w:r>
      <w:r w:rsidR="004D33C9">
        <w:t xml:space="preserve">, </w:t>
      </w:r>
      <w:r>
        <w:t>all public works contracts and</w:t>
      </w:r>
      <w:r w:rsidR="00600FD1">
        <w:t xml:space="preserve"> the </w:t>
      </w:r>
      <w:r w:rsidR="004D33C9">
        <w:t xml:space="preserve">bid specifications </w:t>
      </w:r>
      <w:r w:rsidR="00600FD1">
        <w:t xml:space="preserve">for those </w:t>
      </w:r>
      <w:r w:rsidR="004D33C9">
        <w:t xml:space="preserve">public works contracts statutorily are </w:t>
      </w:r>
      <w:r w:rsidR="00600FD1">
        <w:t xml:space="preserve">required </w:t>
      </w:r>
      <w:r w:rsidR="004D33C9">
        <w:t>to contain standard prevailing wage rates</w:t>
      </w:r>
      <w:r w:rsidR="00F858EC">
        <w:t>.</w:t>
      </w:r>
      <w:r w:rsidR="00600FD1">
        <w:t xml:space="preserve"> </w:t>
      </w:r>
      <w:r w:rsidR="00600FD1" w:rsidRPr="00836097">
        <w:t>Mont. Code Ann. §</w:t>
      </w:r>
      <w:r w:rsidR="004D33C9">
        <w:t xml:space="preserve"> 18-2-422 states:</w:t>
      </w:r>
    </w:p>
    <w:p w14:paraId="4893B594" w14:textId="77777777" w:rsidR="004D33C9" w:rsidRDefault="004D33C9" w:rsidP="004D33C9"/>
    <w:p w14:paraId="65A9CBAD" w14:textId="22EF43FB" w:rsidR="004D33C9" w:rsidRDefault="004D33C9" w:rsidP="00F858EC">
      <w:pPr>
        <w:ind w:left="720"/>
      </w:pPr>
      <w:r>
        <w:t>18-2-422. BID SPECIFICATIONS AND PUBLIC WORKS CONTRACT TO CONTAIN STANDARD PREVAILING WAGE R</w:t>
      </w:r>
      <w:r w:rsidR="00F858EC">
        <w:t>A</w:t>
      </w:r>
      <w:r>
        <w:t>TE AND PAYROLL RECORD NOTIFICATION.</w:t>
      </w:r>
      <w:r w:rsidR="00F858EC">
        <w:t xml:space="preserve"> </w:t>
      </w:r>
      <w:r>
        <w:t>ALL PUBLIC WORKS CONTRACTS AND THE BID SPECIFICATIONS FOR THOSE CONTRACTS MUST CONTAIN:</w:t>
      </w:r>
    </w:p>
    <w:p w14:paraId="3DF79A24" w14:textId="77777777" w:rsidR="004D33C9" w:rsidRPr="008C3EF2" w:rsidRDefault="004D33C9" w:rsidP="004D33C9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3EF2">
        <w:rPr>
          <w:rFonts w:ascii="Times New Roman" w:hAnsi="Times New Roman"/>
          <w:sz w:val="24"/>
          <w:szCs w:val="24"/>
        </w:rPr>
        <w:t xml:space="preserve">A provision stating for each job classification the standard prevailing wage rate including fringe benefits that the contractors and employers shall pay during construction of the </w:t>
      </w:r>
      <w:proofErr w:type="gramStart"/>
      <w:r w:rsidRPr="008C3EF2">
        <w:rPr>
          <w:rFonts w:ascii="Times New Roman" w:hAnsi="Times New Roman"/>
          <w:sz w:val="24"/>
          <w:szCs w:val="24"/>
        </w:rPr>
        <w:t>project;</w:t>
      </w:r>
      <w:proofErr w:type="gramEnd"/>
    </w:p>
    <w:p w14:paraId="5EE13F4D" w14:textId="69BF2FB9" w:rsidR="004D33C9" w:rsidRPr="008C3EF2" w:rsidRDefault="004D33C9" w:rsidP="004D33C9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3EF2">
        <w:rPr>
          <w:rFonts w:ascii="Times New Roman" w:hAnsi="Times New Roman"/>
          <w:sz w:val="24"/>
          <w:szCs w:val="24"/>
        </w:rPr>
        <w:t>A provision requiring each contractor and employer to maintain payroll records in a manner readily capable of being certified for submission under 18-2-423, for not less than 3 years after the contractor’s or employer’s completion of work on the project; and</w:t>
      </w:r>
    </w:p>
    <w:p w14:paraId="1D3BE4FA" w14:textId="33D8F033" w:rsidR="00283AB5" w:rsidRPr="008C3EF2" w:rsidRDefault="004D33C9" w:rsidP="008C3EF2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3EF2">
        <w:rPr>
          <w:rFonts w:ascii="Times New Roman" w:hAnsi="Times New Roman"/>
          <w:sz w:val="24"/>
          <w:szCs w:val="24"/>
        </w:rPr>
        <w:t>A provision requiring each contractor to post a statement of all wages and fringe benefits in compliance with 18-2-423. (</w:t>
      </w:r>
      <w:proofErr w:type="gramStart"/>
      <w:r w:rsidRPr="008C3EF2">
        <w:rPr>
          <w:rFonts w:ascii="Times New Roman" w:hAnsi="Times New Roman"/>
          <w:sz w:val="24"/>
          <w:szCs w:val="24"/>
        </w:rPr>
        <w:t>emphasis</w:t>
      </w:r>
      <w:proofErr w:type="gramEnd"/>
      <w:r w:rsidRPr="008C3EF2">
        <w:rPr>
          <w:rFonts w:ascii="Times New Roman" w:hAnsi="Times New Roman"/>
          <w:sz w:val="24"/>
          <w:szCs w:val="24"/>
        </w:rPr>
        <w:t xml:space="preserve"> added)</w:t>
      </w:r>
    </w:p>
    <w:p w14:paraId="5FB16768" w14:textId="77777777" w:rsidR="004D33C9" w:rsidRPr="008673DA" w:rsidRDefault="004D33C9" w:rsidP="004D33C9"/>
    <w:p w14:paraId="1DCC1A2C" w14:textId="77777777" w:rsidR="00283AB5" w:rsidRPr="008673DA" w:rsidRDefault="00283AB5" w:rsidP="00283AB5">
      <w:pPr>
        <w:rPr>
          <w:b/>
        </w:rPr>
      </w:pPr>
      <w:r w:rsidRPr="008673DA">
        <w:rPr>
          <w:b/>
          <w:u w:val="single"/>
        </w:rPr>
        <w:t>CONCLUSION</w:t>
      </w:r>
      <w:r>
        <w:rPr>
          <w:b/>
          <w:u w:val="single"/>
        </w:rPr>
        <w:t>(S)</w:t>
      </w:r>
      <w:r w:rsidRPr="008673DA">
        <w:rPr>
          <w:b/>
        </w:rPr>
        <w:t>:</w:t>
      </w:r>
    </w:p>
    <w:p w14:paraId="3A14CB2C" w14:textId="77777777" w:rsidR="00283AB5" w:rsidRPr="008673DA" w:rsidRDefault="00283AB5" w:rsidP="00283AB5"/>
    <w:p w14:paraId="3D5D1E84" w14:textId="791F0DE9" w:rsidR="00520F9A" w:rsidRDefault="004D33C9" w:rsidP="005C50CB">
      <w:r>
        <w:t xml:space="preserve">Yes, </w:t>
      </w:r>
      <w:r w:rsidR="00600FD1" w:rsidRPr="00836097">
        <w:t>Mont. Code Ann. §</w:t>
      </w:r>
      <w:r w:rsidR="00600FD1">
        <w:t xml:space="preserve"> </w:t>
      </w:r>
      <w:r>
        <w:t>18-2-4</w:t>
      </w:r>
      <w:r w:rsidR="00600FD1">
        <w:t xml:space="preserve">22 of Montana’s construction contract laws requires that all public works contracts and bid specifications for contract with a total cost </w:t>
      </w:r>
      <w:proofErr w:type="gramStart"/>
      <w:r w:rsidR="00600FD1">
        <w:t>in excess of</w:t>
      </w:r>
      <w:proofErr w:type="gramEnd"/>
      <w:r w:rsidR="00600FD1">
        <w:t xml:space="preserve"> $25,000 must contain the standard prevailing wage rates.</w:t>
      </w:r>
    </w:p>
    <w:p w14:paraId="38687403" w14:textId="77777777" w:rsidR="00B00449" w:rsidRPr="00101C2A" w:rsidRDefault="00B00449" w:rsidP="00B00449"/>
    <w:p w14:paraId="1A376A90" w14:textId="77777777" w:rsidR="006A76F5" w:rsidRPr="00101C2A" w:rsidRDefault="006A76F5" w:rsidP="00B00449"/>
    <w:p w14:paraId="5AFFD720" w14:textId="77777777" w:rsidR="005604B4" w:rsidRPr="00101C2A" w:rsidRDefault="005604B4" w:rsidP="005604B4">
      <w:pPr>
        <w:jc w:val="both"/>
      </w:pPr>
      <w:r w:rsidRPr="00101C2A">
        <w:t>OFFICE OF THE CITY ATTORNEY</w:t>
      </w:r>
    </w:p>
    <w:p w14:paraId="23ECC509" w14:textId="77777777" w:rsidR="005604B4" w:rsidRPr="00101C2A" w:rsidRDefault="005604B4" w:rsidP="005604B4">
      <w:pPr>
        <w:jc w:val="both"/>
      </w:pPr>
    </w:p>
    <w:p w14:paraId="3A33F7F0" w14:textId="77777777" w:rsidR="00600FD1" w:rsidRPr="008673DA" w:rsidRDefault="00600FD1" w:rsidP="00600FD1">
      <w:pPr>
        <w:jc w:val="both"/>
      </w:pPr>
    </w:p>
    <w:p w14:paraId="76BB8CCF" w14:textId="1169FCF1" w:rsidR="00600FD1" w:rsidRDefault="00600FD1" w:rsidP="00600FD1">
      <w:pPr>
        <w:jc w:val="both"/>
        <w:rPr>
          <w:noProof/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0E785A7C" wp14:editId="3A5CB3C9">
            <wp:extent cx="1785620" cy="741680"/>
            <wp:effectExtent l="0" t="0" r="5080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E8D3" w14:textId="77777777" w:rsidR="00600FD1" w:rsidRPr="008673DA" w:rsidRDefault="00600FD1" w:rsidP="00600FD1">
      <w:pPr>
        <w:jc w:val="both"/>
      </w:pPr>
      <w:r>
        <w:rPr>
          <w:noProof/>
          <w:color w:val="000000"/>
        </w:rPr>
        <w:t>J</w:t>
      </w:r>
      <w:proofErr w:type="spellStart"/>
      <w:r w:rsidRPr="008673DA">
        <w:t>im</w:t>
      </w:r>
      <w:proofErr w:type="spellEnd"/>
      <w:r w:rsidRPr="008673DA">
        <w:t xml:space="preserve"> Nugent, City Attorney</w:t>
      </w:r>
    </w:p>
    <w:p w14:paraId="27919170" w14:textId="77777777" w:rsidR="00600FD1" w:rsidRPr="008673DA" w:rsidRDefault="00600FD1" w:rsidP="00600FD1">
      <w:pPr>
        <w:jc w:val="both"/>
      </w:pPr>
    </w:p>
    <w:p w14:paraId="168544AA" w14:textId="77777777" w:rsidR="00600FD1" w:rsidRPr="008673DA" w:rsidRDefault="00600FD1" w:rsidP="00600FD1">
      <w:pPr>
        <w:jc w:val="both"/>
      </w:pPr>
      <w:r w:rsidRPr="008673DA">
        <w:t>JN:</w:t>
      </w:r>
      <w:r>
        <w:t xml:space="preserve"> </w:t>
      </w:r>
      <w:proofErr w:type="spellStart"/>
      <w:r>
        <w:t>mcs</w:t>
      </w:r>
      <w:proofErr w:type="spellEnd"/>
    </w:p>
    <w:p w14:paraId="30174D4A" w14:textId="77777777" w:rsidR="008673DA" w:rsidRPr="00101C2A" w:rsidRDefault="008673DA" w:rsidP="00600FD1">
      <w:pPr>
        <w:jc w:val="both"/>
      </w:pPr>
    </w:p>
    <w:sectPr w:rsidR="008673DA" w:rsidRPr="00101C2A" w:rsidSect="00123476"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AA0D" w14:textId="77777777" w:rsidR="00267565" w:rsidRDefault="00267565">
      <w:r>
        <w:separator/>
      </w:r>
    </w:p>
  </w:endnote>
  <w:endnote w:type="continuationSeparator" w:id="0">
    <w:p w14:paraId="18698B49" w14:textId="77777777" w:rsidR="00267565" w:rsidRDefault="002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AF18" w14:textId="77777777" w:rsidR="00C259A8" w:rsidRDefault="00505CA7" w:rsidP="00685E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59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C16CA" w14:textId="77777777" w:rsidR="00C259A8" w:rsidRDefault="00C25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A000" w14:textId="77777777" w:rsidR="00C259A8" w:rsidRPr="00123476" w:rsidRDefault="00C259A8" w:rsidP="00685EB7">
    <w:pPr>
      <w:pStyle w:val="Footer"/>
      <w:framePr w:wrap="around" w:vAnchor="text" w:hAnchor="margin" w:xAlign="center" w:y="1"/>
      <w:rPr>
        <w:rStyle w:val="PageNumber"/>
      </w:rPr>
    </w:pPr>
    <w:r w:rsidRPr="00123476">
      <w:rPr>
        <w:rStyle w:val="PageNumber"/>
      </w:rPr>
      <w:t>-</w:t>
    </w:r>
    <w:r w:rsidR="00505CA7" w:rsidRPr="00123476">
      <w:rPr>
        <w:rStyle w:val="PageNumber"/>
      </w:rPr>
      <w:fldChar w:fldCharType="begin"/>
    </w:r>
    <w:r w:rsidRPr="00123476">
      <w:rPr>
        <w:rStyle w:val="PageNumber"/>
      </w:rPr>
      <w:instrText xml:space="preserve">PAGE  </w:instrText>
    </w:r>
    <w:r w:rsidR="00505CA7" w:rsidRPr="00123476">
      <w:rPr>
        <w:rStyle w:val="PageNumber"/>
      </w:rPr>
      <w:fldChar w:fldCharType="separate"/>
    </w:r>
    <w:r w:rsidR="00520F9A">
      <w:rPr>
        <w:rStyle w:val="PageNumber"/>
        <w:noProof/>
      </w:rPr>
      <w:t>2</w:t>
    </w:r>
    <w:r w:rsidR="00505CA7" w:rsidRPr="00123476">
      <w:rPr>
        <w:rStyle w:val="PageNumber"/>
      </w:rPr>
      <w:fldChar w:fldCharType="end"/>
    </w:r>
    <w:r w:rsidRPr="00123476">
      <w:rPr>
        <w:rStyle w:val="PageNumber"/>
      </w:rPr>
      <w:t>-</w:t>
    </w:r>
  </w:p>
  <w:p w14:paraId="5D6E1E07" w14:textId="77777777" w:rsidR="00C259A8" w:rsidRDefault="00C2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E47B" w14:textId="77777777" w:rsidR="00267565" w:rsidRDefault="00267565">
      <w:r>
        <w:separator/>
      </w:r>
    </w:p>
  </w:footnote>
  <w:footnote w:type="continuationSeparator" w:id="0">
    <w:p w14:paraId="73BBAFC7" w14:textId="77777777" w:rsidR="00267565" w:rsidRDefault="0026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FA9E" w14:textId="77777777" w:rsidR="00C530AA" w:rsidRPr="00AA0F32" w:rsidRDefault="00C530AA" w:rsidP="00C530AA">
    <w:pPr>
      <w:pBdr>
        <w:bottom w:val="double" w:sz="4" w:space="1" w:color="auto"/>
      </w:pBdr>
      <w:jc w:val="center"/>
      <w:rPr>
        <w:rFonts w:ascii="Cambria" w:hAnsi="Cambria" w:cs="Tahoma"/>
        <w:b/>
        <w:sz w:val="40"/>
        <w:szCs w:val="40"/>
      </w:rPr>
    </w:pPr>
    <w:r w:rsidRPr="00AA0F32">
      <w:rPr>
        <w:rFonts w:ascii="Cambria" w:hAnsi="Cambria" w:cs="Tahoma"/>
        <w:b/>
        <w:sz w:val="40"/>
        <w:szCs w:val="40"/>
      </w:rPr>
      <w:t>OFFICE OF THE CITY ATTORNEY</w:t>
    </w:r>
  </w:p>
  <w:p w14:paraId="2A403A85" w14:textId="77777777" w:rsidR="00C530AA" w:rsidRDefault="00C530AA" w:rsidP="00C530AA">
    <w:pPr>
      <w:jc w:val="right"/>
      <w:rPr>
        <w:rFonts w:ascii="Cambria" w:hAnsi="Cambria" w:cs="Tahoma"/>
        <w:sz w:val="21"/>
        <w:szCs w:val="21"/>
      </w:rPr>
    </w:pPr>
    <w:r w:rsidRPr="00C72D3B">
      <w:rPr>
        <w:rFonts w:ascii="Cambria" w:hAnsi="Cambria" w:cs="Tahoma"/>
        <w:sz w:val="21"/>
        <w:szCs w:val="21"/>
      </w:rPr>
      <w:t>435 Ryman • Missoula MT 59802</w:t>
    </w:r>
  </w:p>
  <w:p w14:paraId="7D11BFDA" w14:textId="77777777" w:rsidR="00C530AA" w:rsidRDefault="00C530AA" w:rsidP="00C530AA">
    <w:pPr>
      <w:jc w:val="right"/>
      <w:rPr>
        <w:rFonts w:ascii="Cambria" w:hAnsi="Cambria" w:cs="Tahoma"/>
        <w:sz w:val="21"/>
        <w:szCs w:val="21"/>
      </w:rPr>
    </w:pPr>
    <w:r w:rsidRPr="00C72D3B">
      <w:rPr>
        <w:rFonts w:ascii="Cambria" w:hAnsi="Cambria" w:cs="Tahoma"/>
        <w:sz w:val="21"/>
        <w:szCs w:val="21"/>
      </w:rPr>
      <w:t>(406) 552-6020 • Fax: (406) 327-2105</w:t>
    </w:r>
  </w:p>
  <w:p w14:paraId="2CFA0F99" w14:textId="77777777" w:rsidR="00C530AA" w:rsidRDefault="00600FD1" w:rsidP="00C530AA">
    <w:pPr>
      <w:jc w:val="right"/>
    </w:pPr>
    <w:hyperlink r:id="rId1" w:history="1">
      <w:r w:rsidR="00C530AA" w:rsidRPr="00C72D3B">
        <w:rPr>
          <w:rStyle w:val="Hyperlink"/>
          <w:rFonts w:ascii="Cambria" w:hAnsi="Cambria" w:cs="Tahoma"/>
          <w:sz w:val="21"/>
          <w:szCs w:val="21"/>
        </w:rPr>
        <w:t>attorney@ci.missoula.mt.us</w:t>
      </w:r>
    </w:hyperlink>
  </w:p>
  <w:p w14:paraId="10352EBC" w14:textId="77777777" w:rsidR="00637E86" w:rsidRPr="00C72D3B" w:rsidRDefault="00637E86" w:rsidP="00C530AA">
    <w:pPr>
      <w:jc w:val="right"/>
      <w:rPr>
        <w:rFonts w:ascii="Cambria" w:hAnsi="Cambri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BB"/>
    <w:multiLevelType w:val="hybridMultilevel"/>
    <w:tmpl w:val="D3A4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E0148"/>
    <w:multiLevelType w:val="hybridMultilevel"/>
    <w:tmpl w:val="F5765846"/>
    <w:lvl w:ilvl="0" w:tplc="D27A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A51C0"/>
    <w:multiLevelType w:val="hybridMultilevel"/>
    <w:tmpl w:val="47F27F64"/>
    <w:lvl w:ilvl="0" w:tplc="63D69C80">
      <w:start w:val="1"/>
      <w:numFmt w:val="decimal"/>
      <w:lvlText w:val="(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9C94E82"/>
    <w:multiLevelType w:val="hybridMultilevel"/>
    <w:tmpl w:val="F5765846"/>
    <w:lvl w:ilvl="0" w:tplc="D27A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F639B"/>
    <w:multiLevelType w:val="hybridMultilevel"/>
    <w:tmpl w:val="70CA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41B3"/>
    <w:multiLevelType w:val="hybridMultilevel"/>
    <w:tmpl w:val="E91A0740"/>
    <w:lvl w:ilvl="0" w:tplc="7FAEA39A">
      <w:start w:val="1"/>
      <w:numFmt w:val="decimal"/>
      <w:lvlText w:val="(%1)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9576513"/>
    <w:multiLevelType w:val="hybridMultilevel"/>
    <w:tmpl w:val="7BA6FD1E"/>
    <w:lvl w:ilvl="0" w:tplc="7C9037A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545C8"/>
    <w:multiLevelType w:val="hybridMultilevel"/>
    <w:tmpl w:val="ED7402E0"/>
    <w:lvl w:ilvl="0" w:tplc="D580087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3002"/>
    <w:multiLevelType w:val="hybridMultilevel"/>
    <w:tmpl w:val="069CFDBA"/>
    <w:lvl w:ilvl="0" w:tplc="997CA8C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518B3"/>
    <w:multiLevelType w:val="hybridMultilevel"/>
    <w:tmpl w:val="E0E2C08A"/>
    <w:lvl w:ilvl="0" w:tplc="7702F6B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94A9DC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B1F1854"/>
    <w:multiLevelType w:val="hybridMultilevel"/>
    <w:tmpl w:val="DB8E84C0"/>
    <w:lvl w:ilvl="0" w:tplc="C8D87E90">
      <w:start w:val="1"/>
      <w:numFmt w:val="lowerLetter"/>
      <w:lvlText w:val="(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D184E0A"/>
    <w:multiLevelType w:val="hybridMultilevel"/>
    <w:tmpl w:val="7856E922"/>
    <w:lvl w:ilvl="0" w:tplc="37BA62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735783">
    <w:abstractNumId w:val="9"/>
  </w:num>
  <w:num w:numId="2" w16cid:durableId="632518395">
    <w:abstractNumId w:val="4"/>
  </w:num>
  <w:num w:numId="3" w16cid:durableId="221451254">
    <w:abstractNumId w:val="3"/>
  </w:num>
  <w:num w:numId="4" w16cid:durableId="1410542616">
    <w:abstractNumId w:val="1"/>
  </w:num>
  <w:num w:numId="5" w16cid:durableId="49126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518333">
    <w:abstractNumId w:val="11"/>
  </w:num>
  <w:num w:numId="7" w16cid:durableId="588274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415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318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431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035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1842829">
    <w:abstractNumId w:val="0"/>
  </w:num>
  <w:num w:numId="13" w16cid:durableId="274871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 style="mso-position-horizontal-relative:page;mso-position-vertical-relative:page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65"/>
    <w:rsid w:val="0000193B"/>
    <w:rsid w:val="00001A46"/>
    <w:rsid w:val="00023D65"/>
    <w:rsid w:val="00043CE0"/>
    <w:rsid w:val="0005093D"/>
    <w:rsid w:val="00051F17"/>
    <w:rsid w:val="000578E0"/>
    <w:rsid w:val="00057DE0"/>
    <w:rsid w:val="000614D7"/>
    <w:rsid w:val="000654F7"/>
    <w:rsid w:val="0007676A"/>
    <w:rsid w:val="00081D86"/>
    <w:rsid w:val="00082B40"/>
    <w:rsid w:val="00082BA9"/>
    <w:rsid w:val="00083DC0"/>
    <w:rsid w:val="00085940"/>
    <w:rsid w:val="00090455"/>
    <w:rsid w:val="0009577F"/>
    <w:rsid w:val="000A0614"/>
    <w:rsid w:val="000A30F6"/>
    <w:rsid w:val="000A3D2D"/>
    <w:rsid w:val="000A550C"/>
    <w:rsid w:val="000B7E3E"/>
    <w:rsid w:val="000C2E52"/>
    <w:rsid w:val="000C3646"/>
    <w:rsid w:val="000C3D21"/>
    <w:rsid w:val="000C6B9F"/>
    <w:rsid w:val="000C729F"/>
    <w:rsid w:val="000D6CC4"/>
    <w:rsid w:val="000E4BEE"/>
    <w:rsid w:val="000F2EF6"/>
    <w:rsid w:val="000F34CB"/>
    <w:rsid w:val="000F3770"/>
    <w:rsid w:val="000F6503"/>
    <w:rsid w:val="00100690"/>
    <w:rsid w:val="00101C2A"/>
    <w:rsid w:val="00102706"/>
    <w:rsid w:val="0011236C"/>
    <w:rsid w:val="00114D96"/>
    <w:rsid w:val="00114E3F"/>
    <w:rsid w:val="00120FE3"/>
    <w:rsid w:val="00123476"/>
    <w:rsid w:val="00127ECA"/>
    <w:rsid w:val="00135D77"/>
    <w:rsid w:val="001467A4"/>
    <w:rsid w:val="0015215E"/>
    <w:rsid w:val="0018228B"/>
    <w:rsid w:val="0018328B"/>
    <w:rsid w:val="0019472B"/>
    <w:rsid w:val="001A1C53"/>
    <w:rsid w:val="001B464F"/>
    <w:rsid w:val="001B79CE"/>
    <w:rsid w:val="001C4688"/>
    <w:rsid w:val="001D354A"/>
    <w:rsid w:val="001E3B13"/>
    <w:rsid w:val="001E5D26"/>
    <w:rsid w:val="001F09C1"/>
    <w:rsid w:val="001F4A1E"/>
    <w:rsid w:val="001F79E4"/>
    <w:rsid w:val="0021610C"/>
    <w:rsid w:val="0022009C"/>
    <w:rsid w:val="00227C3E"/>
    <w:rsid w:val="002565EF"/>
    <w:rsid w:val="00257024"/>
    <w:rsid w:val="002577D1"/>
    <w:rsid w:val="00267565"/>
    <w:rsid w:val="00267A2B"/>
    <w:rsid w:val="002712D9"/>
    <w:rsid w:val="00283AB5"/>
    <w:rsid w:val="002855BF"/>
    <w:rsid w:val="0029285F"/>
    <w:rsid w:val="002A2829"/>
    <w:rsid w:val="002A7433"/>
    <w:rsid w:val="002B6A66"/>
    <w:rsid w:val="002E76A5"/>
    <w:rsid w:val="002F744E"/>
    <w:rsid w:val="00305C54"/>
    <w:rsid w:val="003102E9"/>
    <w:rsid w:val="00317099"/>
    <w:rsid w:val="003320B4"/>
    <w:rsid w:val="00341C32"/>
    <w:rsid w:val="003441BE"/>
    <w:rsid w:val="00346721"/>
    <w:rsid w:val="00350359"/>
    <w:rsid w:val="00360CF6"/>
    <w:rsid w:val="00361B7C"/>
    <w:rsid w:val="00372E77"/>
    <w:rsid w:val="00375AA6"/>
    <w:rsid w:val="00393CB7"/>
    <w:rsid w:val="00396A84"/>
    <w:rsid w:val="003A09C6"/>
    <w:rsid w:val="003A4745"/>
    <w:rsid w:val="003B2167"/>
    <w:rsid w:val="003B384F"/>
    <w:rsid w:val="003C049E"/>
    <w:rsid w:val="003C217B"/>
    <w:rsid w:val="003C2A6D"/>
    <w:rsid w:val="003C6C67"/>
    <w:rsid w:val="003C7A47"/>
    <w:rsid w:val="003D53BC"/>
    <w:rsid w:val="003E02F0"/>
    <w:rsid w:val="003E3EAF"/>
    <w:rsid w:val="003E52F6"/>
    <w:rsid w:val="003E5E13"/>
    <w:rsid w:val="003F3979"/>
    <w:rsid w:val="003F6EA2"/>
    <w:rsid w:val="003F7818"/>
    <w:rsid w:val="00403FF1"/>
    <w:rsid w:val="00414D96"/>
    <w:rsid w:val="00423738"/>
    <w:rsid w:val="00436791"/>
    <w:rsid w:val="00436B40"/>
    <w:rsid w:val="00442B9B"/>
    <w:rsid w:val="00460A76"/>
    <w:rsid w:val="004673EB"/>
    <w:rsid w:val="004724CA"/>
    <w:rsid w:val="00473561"/>
    <w:rsid w:val="00483515"/>
    <w:rsid w:val="00491E36"/>
    <w:rsid w:val="004B1E00"/>
    <w:rsid w:val="004C177C"/>
    <w:rsid w:val="004D0C67"/>
    <w:rsid w:val="004D33C9"/>
    <w:rsid w:val="004E2A40"/>
    <w:rsid w:val="004E51BD"/>
    <w:rsid w:val="004F4E99"/>
    <w:rsid w:val="00504254"/>
    <w:rsid w:val="00505894"/>
    <w:rsid w:val="00505CA7"/>
    <w:rsid w:val="00505D3E"/>
    <w:rsid w:val="00520F9A"/>
    <w:rsid w:val="00524E81"/>
    <w:rsid w:val="00531343"/>
    <w:rsid w:val="00532981"/>
    <w:rsid w:val="00540FA3"/>
    <w:rsid w:val="0054260D"/>
    <w:rsid w:val="0055057C"/>
    <w:rsid w:val="005604B4"/>
    <w:rsid w:val="0056141F"/>
    <w:rsid w:val="00564D80"/>
    <w:rsid w:val="00576B6B"/>
    <w:rsid w:val="00580348"/>
    <w:rsid w:val="00586E5A"/>
    <w:rsid w:val="005901F7"/>
    <w:rsid w:val="0059090C"/>
    <w:rsid w:val="005922C0"/>
    <w:rsid w:val="00592DC3"/>
    <w:rsid w:val="00594E53"/>
    <w:rsid w:val="00594E6E"/>
    <w:rsid w:val="00596F13"/>
    <w:rsid w:val="005A0702"/>
    <w:rsid w:val="005C50CB"/>
    <w:rsid w:val="005C659B"/>
    <w:rsid w:val="005C695C"/>
    <w:rsid w:val="005C763E"/>
    <w:rsid w:val="005D1955"/>
    <w:rsid w:val="005E1105"/>
    <w:rsid w:val="005F05B5"/>
    <w:rsid w:val="005F6A2C"/>
    <w:rsid w:val="005F6D32"/>
    <w:rsid w:val="005F78DC"/>
    <w:rsid w:val="00600FD1"/>
    <w:rsid w:val="00610A77"/>
    <w:rsid w:val="00633F82"/>
    <w:rsid w:val="00637E86"/>
    <w:rsid w:val="006505FB"/>
    <w:rsid w:val="00652AF4"/>
    <w:rsid w:val="0065521C"/>
    <w:rsid w:val="00664CF9"/>
    <w:rsid w:val="00685EB7"/>
    <w:rsid w:val="00696B0D"/>
    <w:rsid w:val="006A0B18"/>
    <w:rsid w:val="006A0F8C"/>
    <w:rsid w:val="006A76F5"/>
    <w:rsid w:val="006C303D"/>
    <w:rsid w:val="006D2422"/>
    <w:rsid w:val="006D29A7"/>
    <w:rsid w:val="006D4F4E"/>
    <w:rsid w:val="006E0FDD"/>
    <w:rsid w:val="006E47FD"/>
    <w:rsid w:val="006F24FE"/>
    <w:rsid w:val="006F5506"/>
    <w:rsid w:val="006F5A92"/>
    <w:rsid w:val="007000B1"/>
    <w:rsid w:val="007019E3"/>
    <w:rsid w:val="00703272"/>
    <w:rsid w:val="00706B16"/>
    <w:rsid w:val="00716BF2"/>
    <w:rsid w:val="007226CD"/>
    <w:rsid w:val="00732C81"/>
    <w:rsid w:val="00740BF5"/>
    <w:rsid w:val="00741C36"/>
    <w:rsid w:val="00742AC0"/>
    <w:rsid w:val="00744260"/>
    <w:rsid w:val="00787754"/>
    <w:rsid w:val="007912B2"/>
    <w:rsid w:val="00793C4A"/>
    <w:rsid w:val="00794BD9"/>
    <w:rsid w:val="00794E7C"/>
    <w:rsid w:val="00797851"/>
    <w:rsid w:val="007B66A1"/>
    <w:rsid w:val="007C10CA"/>
    <w:rsid w:val="007C5E57"/>
    <w:rsid w:val="007C77F2"/>
    <w:rsid w:val="007D2343"/>
    <w:rsid w:val="007D77D8"/>
    <w:rsid w:val="007F0C05"/>
    <w:rsid w:val="00806CBA"/>
    <w:rsid w:val="008260C4"/>
    <w:rsid w:val="00835523"/>
    <w:rsid w:val="00840D3F"/>
    <w:rsid w:val="008421F6"/>
    <w:rsid w:val="008435C1"/>
    <w:rsid w:val="0084762E"/>
    <w:rsid w:val="00854774"/>
    <w:rsid w:val="0086406B"/>
    <w:rsid w:val="00864548"/>
    <w:rsid w:val="00866238"/>
    <w:rsid w:val="008673DA"/>
    <w:rsid w:val="008676E1"/>
    <w:rsid w:val="00873ECD"/>
    <w:rsid w:val="0087474F"/>
    <w:rsid w:val="00880C24"/>
    <w:rsid w:val="008C3EF2"/>
    <w:rsid w:val="008D44A4"/>
    <w:rsid w:val="008E0B49"/>
    <w:rsid w:val="008E5D24"/>
    <w:rsid w:val="008F060F"/>
    <w:rsid w:val="008F3019"/>
    <w:rsid w:val="008F50BA"/>
    <w:rsid w:val="008F633E"/>
    <w:rsid w:val="00901554"/>
    <w:rsid w:val="00901EE9"/>
    <w:rsid w:val="009026FC"/>
    <w:rsid w:val="00914413"/>
    <w:rsid w:val="009238F7"/>
    <w:rsid w:val="0092422C"/>
    <w:rsid w:val="00950FEE"/>
    <w:rsid w:val="0096006A"/>
    <w:rsid w:val="0097527D"/>
    <w:rsid w:val="00985EE3"/>
    <w:rsid w:val="00987C44"/>
    <w:rsid w:val="009962B9"/>
    <w:rsid w:val="009A0F4C"/>
    <w:rsid w:val="009A3CE9"/>
    <w:rsid w:val="009B075C"/>
    <w:rsid w:val="009B24D7"/>
    <w:rsid w:val="009B44CA"/>
    <w:rsid w:val="009C72BF"/>
    <w:rsid w:val="009D5ED0"/>
    <w:rsid w:val="009D77D2"/>
    <w:rsid w:val="009E0692"/>
    <w:rsid w:val="009E07B0"/>
    <w:rsid w:val="009F2782"/>
    <w:rsid w:val="009F7939"/>
    <w:rsid w:val="00A11A38"/>
    <w:rsid w:val="00A17A40"/>
    <w:rsid w:val="00A571CA"/>
    <w:rsid w:val="00A66BD7"/>
    <w:rsid w:val="00A730FC"/>
    <w:rsid w:val="00A77099"/>
    <w:rsid w:val="00A96DC4"/>
    <w:rsid w:val="00AB3475"/>
    <w:rsid w:val="00AB4B52"/>
    <w:rsid w:val="00AB65EB"/>
    <w:rsid w:val="00AB7F2D"/>
    <w:rsid w:val="00AC1E71"/>
    <w:rsid w:val="00AC3EB4"/>
    <w:rsid w:val="00AC4268"/>
    <w:rsid w:val="00AD282D"/>
    <w:rsid w:val="00AD4E7D"/>
    <w:rsid w:val="00AE1AC3"/>
    <w:rsid w:val="00AE5CEF"/>
    <w:rsid w:val="00AF0DD5"/>
    <w:rsid w:val="00B00449"/>
    <w:rsid w:val="00B063FF"/>
    <w:rsid w:val="00B32C69"/>
    <w:rsid w:val="00B33530"/>
    <w:rsid w:val="00B40AD9"/>
    <w:rsid w:val="00B459C3"/>
    <w:rsid w:val="00B57564"/>
    <w:rsid w:val="00B60A77"/>
    <w:rsid w:val="00B64618"/>
    <w:rsid w:val="00B66DD4"/>
    <w:rsid w:val="00B709BC"/>
    <w:rsid w:val="00B71E89"/>
    <w:rsid w:val="00B75C6A"/>
    <w:rsid w:val="00B7775E"/>
    <w:rsid w:val="00B82C20"/>
    <w:rsid w:val="00B91644"/>
    <w:rsid w:val="00B96E5C"/>
    <w:rsid w:val="00B978CC"/>
    <w:rsid w:val="00BB1E3D"/>
    <w:rsid w:val="00BB6A86"/>
    <w:rsid w:val="00BC3538"/>
    <w:rsid w:val="00BC7085"/>
    <w:rsid w:val="00BD1EC8"/>
    <w:rsid w:val="00BE506D"/>
    <w:rsid w:val="00BE6166"/>
    <w:rsid w:val="00BE72FC"/>
    <w:rsid w:val="00BF26A5"/>
    <w:rsid w:val="00BF458B"/>
    <w:rsid w:val="00C02677"/>
    <w:rsid w:val="00C225A7"/>
    <w:rsid w:val="00C23FFF"/>
    <w:rsid w:val="00C259A8"/>
    <w:rsid w:val="00C274A1"/>
    <w:rsid w:val="00C33E2B"/>
    <w:rsid w:val="00C44964"/>
    <w:rsid w:val="00C46238"/>
    <w:rsid w:val="00C5180B"/>
    <w:rsid w:val="00C530AA"/>
    <w:rsid w:val="00C60D3A"/>
    <w:rsid w:val="00C67F4F"/>
    <w:rsid w:val="00C7160D"/>
    <w:rsid w:val="00C71E35"/>
    <w:rsid w:val="00C72C60"/>
    <w:rsid w:val="00C856C2"/>
    <w:rsid w:val="00C86849"/>
    <w:rsid w:val="00CC56AC"/>
    <w:rsid w:val="00CD2B88"/>
    <w:rsid w:val="00CD68DC"/>
    <w:rsid w:val="00CD7E14"/>
    <w:rsid w:val="00CE4439"/>
    <w:rsid w:val="00CF4C6C"/>
    <w:rsid w:val="00CF7D4A"/>
    <w:rsid w:val="00D04711"/>
    <w:rsid w:val="00D055FC"/>
    <w:rsid w:val="00D11A2B"/>
    <w:rsid w:val="00D25A0D"/>
    <w:rsid w:val="00D33EC1"/>
    <w:rsid w:val="00D34AED"/>
    <w:rsid w:val="00D34C53"/>
    <w:rsid w:val="00D40F55"/>
    <w:rsid w:val="00D42159"/>
    <w:rsid w:val="00D513FF"/>
    <w:rsid w:val="00D52C9D"/>
    <w:rsid w:val="00D53935"/>
    <w:rsid w:val="00D60E92"/>
    <w:rsid w:val="00D61DBF"/>
    <w:rsid w:val="00D70B19"/>
    <w:rsid w:val="00D72706"/>
    <w:rsid w:val="00D87039"/>
    <w:rsid w:val="00D93DC5"/>
    <w:rsid w:val="00D95044"/>
    <w:rsid w:val="00DA3E62"/>
    <w:rsid w:val="00DB454E"/>
    <w:rsid w:val="00DC1C76"/>
    <w:rsid w:val="00DC2D2B"/>
    <w:rsid w:val="00DC2F42"/>
    <w:rsid w:val="00DC5165"/>
    <w:rsid w:val="00DD5B28"/>
    <w:rsid w:val="00DE0CB0"/>
    <w:rsid w:val="00DE16A2"/>
    <w:rsid w:val="00DF012A"/>
    <w:rsid w:val="00DF0306"/>
    <w:rsid w:val="00DF14CB"/>
    <w:rsid w:val="00E20E44"/>
    <w:rsid w:val="00E2236E"/>
    <w:rsid w:val="00E45E68"/>
    <w:rsid w:val="00E479F6"/>
    <w:rsid w:val="00E52AED"/>
    <w:rsid w:val="00E55BB9"/>
    <w:rsid w:val="00E55F5F"/>
    <w:rsid w:val="00E71C60"/>
    <w:rsid w:val="00E80930"/>
    <w:rsid w:val="00E84597"/>
    <w:rsid w:val="00E96B4A"/>
    <w:rsid w:val="00EA2EF4"/>
    <w:rsid w:val="00EB5E5E"/>
    <w:rsid w:val="00EB7D58"/>
    <w:rsid w:val="00EC0592"/>
    <w:rsid w:val="00EC6799"/>
    <w:rsid w:val="00ED34A1"/>
    <w:rsid w:val="00EE6164"/>
    <w:rsid w:val="00EF0721"/>
    <w:rsid w:val="00EF2AFA"/>
    <w:rsid w:val="00EF3DCC"/>
    <w:rsid w:val="00F01A97"/>
    <w:rsid w:val="00F042BB"/>
    <w:rsid w:val="00F25E33"/>
    <w:rsid w:val="00F35593"/>
    <w:rsid w:val="00F426EA"/>
    <w:rsid w:val="00F54C65"/>
    <w:rsid w:val="00F552C0"/>
    <w:rsid w:val="00F6245B"/>
    <w:rsid w:val="00F64503"/>
    <w:rsid w:val="00F80F57"/>
    <w:rsid w:val="00F858EC"/>
    <w:rsid w:val="00FA32A7"/>
    <w:rsid w:val="00FA54B6"/>
    <w:rsid w:val="00FA7BCD"/>
    <w:rsid w:val="00FB0B9D"/>
    <w:rsid w:val="00FC63B7"/>
    <w:rsid w:val="00FC7E9B"/>
    <w:rsid w:val="00FD3981"/>
    <w:rsid w:val="00FD4683"/>
    <w:rsid w:val="00FE0F6D"/>
    <w:rsid w:val="00FE76B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horizontal-relative:page;mso-position-vertical-relative:page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FC7374E"/>
  <w15:docId w15:val="{D9156F7B-5694-445A-BA03-D8969795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E57"/>
    <w:rPr>
      <w:sz w:val="24"/>
      <w:szCs w:val="24"/>
    </w:rPr>
  </w:style>
  <w:style w:type="paragraph" w:styleId="Heading1">
    <w:name w:val="heading 1"/>
    <w:basedOn w:val="Normal"/>
    <w:next w:val="Normal"/>
    <w:qFormat/>
    <w:rsid w:val="007C5E57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link w:val="Heading4Char"/>
    <w:qFormat/>
    <w:rsid w:val="00794BD9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794B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5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E5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C049E"/>
    <w:pPr>
      <w:ind w:right="720"/>
      <w:jc w:val="both"/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  <w:rsid w:val="00D95044"/>
  </w:style>
  <w:style w:type="paragraph" w:styleId="BalloonText">
    <w:name w:val="Balloon Text"/>
    <w:basedOn w:val="Normal"/>
    <w:semiHidden/>
    <w:rsid w:val="00BE6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2159"/>
    <w:rPr>
      <w:color w:val="0000FF"/>
      <w:u w:val="single"/>
    </w:rPr>
  </w:style>
  <w:style w:type="character" w:customStyle="1" w:styleId="pmterms31">
    <w:name w:val="pmterms31"/>
    <w:basedOn w:val="DefaultParagraphFont"/>
    <w:rsid w:val="003F3979"/>
    <w:rPr>
      <w:b/>
      <w:bCs/>
      <w:i w:val="0"/>
      <w:iCs w:val="0"/>
      <w:color w:val="000000"/>
    </w:rPr>
  </w:style>
  <w:style w:type="paragraph" w:styleId="BodyTextIndent2">
    <w:name w:val="Body Text Indent 2"/>
    <w:basedOn w:val="Normal"/>
    <w:rsid w:val="0097527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97527D"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rsid w:val="0097527D"/>
    <w:pPr>
      <w:ind w:left="720" w:right="720" w:firstLine="720"/>
      <w:jc w:val="both"/>
    </w:pPr>
    <w:rPr>
      <w:rFonts w:ascii="Bookman Old Style" w:hAnsi="Bookman Old Style"/>
      <w:szCs w:val="20"/>
    </w:rPr>
  </w:style>
  <w:style w:type="paragraph" w:styleId="NormalWeb">
    <w:name w:val="Normal (Web)"/>
    <w:basedOn w:val="Normal"/>
    <w:rsid w:val="0097527D"/>
    <w:pPr>
      <w:spacing w:after="13"/>
    </w:pPr>
  </w:style>
  <w:style w:type="paragraph" w:styleId="BodyTextIndent">
    <w:name w:val="Body Text Indent"/>
    <w:basedOn w:val="Normal"/>
    <w:link w:val="BodyTextIndentChar"/>
    <w:rsid w:val="00794B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94BD9"/>
    <w:rPr>
      <w:sz w:val="24"/>
      <w:szCs w:val="24"/>
    </w:rPr>
  </w:style>
  <w:style w:type="paragraph" w:styleId="BodyText2">
    <w:name w:val="Body Text 2"/>
    <w:basedOn w:val="Normal"/>
    <w:link w:val="BodyText2Char"/>
    <w:rsid w:val="00794B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4BD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94BD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94BD9"/>
    <w:rPr>
      <w:b/>
      <w:bCs/>
    </w:rPr>
  </w:style>
  <w:style w:type="paragraph" w:customStyle="1" w:styleId="Default">
    <w:name w:val="Default"/>
    <w:rsid w:val="00505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449"/>
    <w:pPr>
      <w:ind w:left="720"/>
    </w:pPr>
    <w:rPr>
      <w:rFonts w:ascii="Calibri" w:hAnsi="Calibri"/>
      <w:sz w:val="22"/>
      <w:szCs w:val="22"/>
    </w:rPr>
  </w:style>
  <w:style w:type="paragraph" w:customStyle="1" w:styleId="line-indent">
    <w:name w:val="line-indent"/>
    <w:basedOn w:val="Normal"/>
    <w:rsid w:val="00361B7C"/>
    <w:pPr>
      <w:spacing w:after="150"/>
      <w:ind w:firstLine="312"/>
    </w:pPr>
  </w:style>
  <w:style w:type="character" w:customStyle="1" w:styleId="catchline8">
    <w:name w:val="catchline8"/>
    <w:basedOn w:val="DefaultParagraphFont"/>
    <w:rsid w:val="00361B7C"/>
    <w:rPr>
      <w:b/>
      <w:bCs/>
    </w:rPr>
  </w:style>
  <w:style w:type="character" w:customStyle="1" w:styleId="citation2">
    <w:name w:val="citation2"/>
    <w:basedOn w:val="DefaultParagraphFont"/>
    <w:rsid w:val="0036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461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3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211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89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325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2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80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torney@ci.missoula.m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0E21-926A-4E7B-846F-9B5614FD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Matt Sheldon</cp:lastModifiedBy>
  <cp:revision>2</cp:revision>
  <cp:lastPrinted>2015-02-06T23:04:00Z</cp:lastPrinted>
  <dcterms:created xsi:type="dcterms:W3CDTF">2023-03-16T16:54:00Z</dcterms:created>
  <dcterms:modified xsi:type="dcterms:W3CDTF">2023-03-16T16:54:00Z</dcterms:modified>
</cp:coreProperties>
</file>